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3"/>
        <w:gridCol w:w="3790"/>
      </w:tblGrid>
      <w:tr w:rsidR="00782F57" w:rsidTr="00CB7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8" w:type="dxa"/>
            <w:shd w:val="clear" w:color="000000" w:fill="FFFFFF"/>
            <w:tcMar>
              <w:left w:w="108" w:type="dxa"/>
              <w:right w:w="108" w:type="dxa"/>
            </w:tcMar>
          </w:tcPr>
          <w:p w:rsidR="00782F57" w:rsidRDefault="00782F5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782F57" w:rsidRDefault="00CF41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Утверждено: </w:t>
            </w:r>
          </w:p>
          <w:p w:rsidR="00782F57" w:rsidRDefault="00CF41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Общим собранием пайщиков КПК «Партнер»                                                                              Протокол №1/2018 от 14.03.2018г. </w:t>
            </w:r>
          </w:p>
          <w:p w:rsidR="00782F57" w:rsidRDefault="00782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2F57" w:rsidRDefault="00782F57">
            <w:pPr>
              <w:suppressAutoHyphens/>
              <w:spacing w:after="0" w:line="240" w:lineRule="auto"/>
            </w:pPr>
          </w:p>
        </w:tc>
      </w:tr>
    </w:tbl>
    <w:p w:rsidR="00782F57" w:rsidRDefault="00782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2F57" w:rsidRDefault="00782F57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</w:rPr>
      </w:pPr>
    </w:p>
    <w:p w:rsidR="00782F57" w:rsidRDefault="00CF418A">
      <w:pPr>
        <w:suppressAutoHyphens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</w:t>
      </w:r>
    </w:p>
    <w:p w:rsidR="00782F57" w:rsidRDefault="00782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82F57" w:rsidRDefault="00782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2F57" w:rsidRDefault="00CF418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 О ПОРЯДКЕ РАССМОТРЕНИЯ ОБРАЩЕНИЙ ПОЛУЧАТЕЛЕЙ ФИНАНСОВЫХ УСЛУГ КРЕДИТНОГО ПОТРЕБИТЕЛЬСКОГО КООПЕРАТИВА «ПАРТНЕР»</w:t>
      </w: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782F57">
      <w:pPr>
        <w:rPr>
          <w:rFonts w:ascii="Times New Roman" w:eastAsia="Times New Roman" w:hAnsi="Times New Roman" w:cs="Times New Roman"/>
          <w:b/>
          <w:sz w:val="24"/>
        </w:rPr>
      </w:pPr>
    </w:p>
    <w:p w:rsidR="00782F57" w:rsidRDefault="00CF418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Киржач</w:t>
      </w:r>
      <w:r>
        <w:rPr>
          <w:rFonts w:ascii="Times New Roman" w:eastAsia="Times New Roman" w:hAnsi="Times New Roman" w:cs="Times New Roman"/>
          <w:b/>
          <w:sz w:val="24"/>
        </w:rPr>
        <w:br/>
        <w:t>2018 год</w:t>
      </w:r>
    </w:p>
    <w:p w:rsidR="00782F57" w:rsidRDefault="00CB7272" w:rsidP="00CB727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CB7272" w:rsidRDefault="00CF418A" w:rsidP="00CB727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b/>
          <w:sz w:val="24"/>
        </w:rPr>
        <w:lastRenderedPageBreak/>
        <w:t>ОБЩИЕ ПОЛОЖЕНИЯ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B7272">
        <w:rPr>
          <w:rFonts w:ascii="Times New Roman" w:eastAsia="Times New Roman" w:hAnsi="Times New Roman" w:cs="Times New Roman"/>
          <w:sz w:val="24"/>
        </w:rPr>
        <w:t>Настоящее Положение разработано в соответствии с Федеральным законом «</w:t>
      </w:r>
      <w:r w:rsidRPr="00CB7272">
        <w:rPr>
          <w:rFonts w:ascii="Times New Roman" w:eastAsia="Times New Roman" w:hAnsi="Times New Roman" w:cs="Times New Roman"/>
          <w:sz w:val="24"/>
        </w:rPr>
        <w:t xml:space="preserve">О кредитной кооперации» от 18.07.2009 № 190-ФЗ, Уставом Кооператива и Базовым стандартом защиты прав и интересов физических и юридических лиц - получателей финансовых услуг, оказываемых членами </w:t>
      </w:r>
      <w:proofErr w:type="spellStart"/>
      <w:r w:rsidRPr="00CB7272">
        <w:rPr>
          <w:rFonts w:ascii="Times New Roman" w:eastAsia="Times New Roman" w:hAnsi="Times New Roman" w:cs="Times New Roman"/>
          <w:sz w:val="24"/>
        </w:rPr>
        <w:t>саморегулируемых</w:t>
      </w:r>
      <w:proofErr w:type="spellEnd"/>
      <w:r w:rsidRPr="00CB7272">
        <w:rPr>
          <w:rFonts w:ascii="Times New Roman" w:eastAsia="Times New Roman" w:hAnsi="Times New Roman" w:cs="Times New Roman"/>
          <w:sz w:val="24"/>
        </w:rPr>
        <w:t xml:space="preserve"> организаций в сфере финансового рынка, объеди</w:t>
      </w:r>
      <w:r w:rsidRPr="00CB7272">
        <w:rPr>
          <w:rFonts w:ascii="Times New Roman" w:eastAsia="Times New Roman" w:hAnsi="Times New Roman" w:cs="Times New Roman"/>
          <w:sz w:val="24"/>
        </w:rPr>
        <w:t>няющих кредитные потребительские кооперативы от 14.12.2017 (далее – Стандарт) и регулирует порядок рассмотрения Кооперативом обращений физических и юридических лиц, в том числе пайщиков</w:t>
      </w:r>
      <w:proofErr w:type="gramEnd"/>
      <w:r w:rsidRPr="00CB7272">
        <w:rPr>
          <w:rFonts w:ascii="Times New Roman" w:eastAsia="Times New Roman" w:hAnsi="Times New Roman" w:cs="Times New Roman"/>
          <w:sz w:val="24"/>
        </w:rPr>
        <w:t xml:space="preserve"> Кооператива. 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 При рассмотрении Кооператив руководствуется принципами </w:t>
      </w:r>
      <w:r w:rsidRPr="00CB7272">
        <w:rPr>
          <w:rFonts w:ascii="Times New Roman" w:eastAsia="Times New Roman" w:hAnsi="Times New Roman" w:cs="Times New Roman"/>
          <w:sz w:val="24"/>
        </w:rPr>
        <w:t>доступности, результативности, объективности и беспристрастности, предполагающими информированность получателей финансовых услуг о получении кредитным кооперативом его обращения.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настоящем Положении понятия «получатель финансовых услуг» и «заявитель» исп</w:t>
      </w:r>
      <w:r w:rsidRPr="00CB7272">
        <w:rPr>
          <w:rFonts w:ascii="Times New Roman" w:eastAsia="Times New Roman" w:hAnsi="Times New Roman" w:cs="Times New Roman"/>
          <w:sz w:val="24"/>
        </w:rPr>
        <w:t>ользуются как тождественные.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Для эффективного и своевременного рассмотрения поступающих обращений в Кооперативе определяется лицо (лица), ответственное за рассмотрение обращений. Кооператив вправе привлечь третье лицо, осуществляющее соответствующие функци</w:t>
      </w:r>
      <w:r w:rsidRPr="00CB7272">
        <w:rPr>
          <w:rFonts w:ascii="Times New Roman" w:eastAsia="Times New Roman" w:hAnsi="Times New Roman" w:cs="Times New Roman"/>
          <w:sz w:val="24"/>
        </w:rPr>
        <w:t>и на основании гражданско-правового договора.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Кооператив обязан обеспечить, чтобы лицо, ответственное за расс</w:t>
      </w:r>
      <w:r w:rsidRPr="00CB7272">
        <w:rPr>
          <w:rFonts w:ascii="Times New Roman" w:eastAsia="Times New Roman" w:hAnsi="Times New Roman" w:cs="Times New Roman"/>
          <w:sz w:val="24"/>
        </w:rPr>
        <w:t xml:space="preserve">мотрение обращений, имело </w:t>
      </w:r>
      <w:proofErr w:type="spellStart"/>
      <w:r w:rsidRPr="00CB7272">
        <w:rPr>
          <w:rFonts w:ascii="Times New Roman" w:eastAsia="Times New Roman" w:hAnsi="Times New Roman" w:cs="Times New Roman"/>
          <w:sz w:val="24"/>
        </w:rPr>
        <w:t>право:</w:t>
      </w:r>
      <w:proofErr w:type="spellEnd"/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Требовать у работников кредитного кооператива предоставления документов, иной необходимой информации, а также пис</w:t>
      </w:r>
      <w:r w:rsidRPr="00CB7272">
        <w:rPr>
          <w:rFonts w:ascii="Times New Roman" w:eastAsia="Times New Roman" w:hAnsi="Times New Roman" w:cs="Times New Roman"/>
          <w:sz w:val="24"/>
        </w:rPr>
        <w:t>ьменных объяснений по вопросам, возникающим в ходе рассмотрения обраще</w:t>
      </w:r>
      <w:r w:rsidRPr="00CB7272">
        <w:rPr>
          <w:rFonts w:ascii="Times New Roman" w:eastAsia="Times New Roman" w:hAnsi="Times New Roman" w:cs="Times New Roman"/>
          <w:sz w:val="24"/>
        </w:rPr>
        <w:t>ния получателя финансовых услуг;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Обращаться непосредственно к единоличному исполнительному органу Кооператива, осуществляющему контроль рассмотрения обращений и взаимодействия с получате</w:t>
      </w:r>
      <w:r w:rsidRPr="00CB7272">
        <w:rPr>
          <w:rFonts w:ascii="Times New Roman" w:eastAsia="Times New Roman" w:hAnsi="Times New Roman" w:cs="Times New Roman"/>
          <w:sz w:val="24"/>
        </w:rPr>
        <w:t>лями финансовых услуг, с целью надлежащего рассмотрения обращений и, при необходимости, принятия мер по защите и восстановлению прав и законных интересов получателей финансовых услуг.</w:t>
      </w:r>
    </w:p>
    <w:p w:rsidR="00782F57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Запрос дополнительных документов и сведений у заявителя, а также ответ н</w:t>
      </w:r>
      <w:r w:rsidRPr="00CB7272">
        <w:rPr>
          <w:rFonts w:ascii="Times New Roman" w:eastAsia="Times New Roman" w:hAnsi="Times New Roman" w:cs="Times New Roman"/>
          <w:sz w:val="24"/>
        </w:rPr>
        <w:t>а обращение подписывается единоличным исполнительным органом или иным уполномоченным представителем кредитного кооператива.</w:t>
      </w:r>
    </w:p>
    <w:p w:rsidR="00CB7272" w:rsidRDefault="00CF418A" w:rsidP="00CB72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b/>
          <w:caps/>
          <w:sz w:val="24"/>
        </w:rPr>
        <w:t>Информационное взаимодействие при рассмотрении обращений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proofErr w:type="gramStart"/>
      <w:r w:rsidRPr="00CB7272">
        <w:rPr>
          <w:rFonts w:ascii="Times New Roman" w:eastAsia="Times New Roman" w:hAnsi="Times New Roman" w:cs="Times New Roman"/>
          <w:sz w:val="24"/>
        </w:rPr>
        <w:t xml:space="preserve">Ответ на обращение кредитный направляется по адресу, предоставленному заявителем (в том числе при заключении договора об оказании финансовой услуги или по адресу, сообщенному заявителем в порядке изменения персональных данных в соответствии с требованиями </w:t>
      </w:r>
      <w:r w:rsidRPr="00CB7272">
        <w:rPr>
          <w:rFonts w:ascii="Times New Roman" w:eastAsia="Times New Roman" w:hAnsi="Times New Roman" w:cs="Times New Roman"/>
          <w:sz w:val="24"/>
        </w:rPr>
        <w:t>Федерального закона от 27.06.2006 №152-ФЗ «О персональных данных», в соответствии с условиями договора, заключенного с заявителем, или в соответствии с внутренним документом о персональных данных, утвержденным кредитным</w:t>
      </w:r>
      <w:proofErr w:type="gramEnd"/>
      <w:r w:rsidRPr="00CB7272">
        <w:rPr>
          <w:rFonts w:ascii="Times New Roman" w:eastAsia="Times New Roman" w:hAnsi="Times New Roman" w:cs="Times New Roman"/>
          <w:sz w:val="24"/>
        </w:rPr>
        <w:t xml:space="preserve"> кооперативом), либо вручается лично </w:t>
      </w:r>
      <w:r w:rsidRPr="00CB7272">
        <w:rPr>
          <w:rFonts w:ascii="Times New Roman" w:eastAsia="Times New Roman" w:hAnsi="Times New Roman" w:cs="Times New Roman"/>
          <w:sz w:val="24"/>
        </w:rPr>
        <w:t xml:space="preserve">заявителю в офисе Кооператива. </w:t>
      </w:r>
      <w:proofErr w:type="gramStart"/>
      <w:r w:rsidRPr="00CB7272">
        <w:rPr>
          <w:rFonts w:ascii="Times New Roman" w:eastAsia="Times New Roman" w:hAnsi="Times New Roman" w:cs="Times New Roman"/>
          <w:sz w:val="24"/>
        </w:rPr>
        <w:t xml:space="preserve">В случае направления обращения от заявителя его представителем, в том числе адвокатом, действующими на основании доверенности, оформленной в соответствии с законодательском Российской Федерации, или правопреемником, ответ на </w:t>
      </w:r>
      <w:r w:rsidRPr="00CB7272">
        <w:rPr>
          <w:rFonts w:ascii="Times New Roman" w:eastAsia="Times New Roman" w:hAnsi="Times New Roman" w:cs="Times New Roman"/>
          <w:sz w:val="24"/>
        </w:rPr>
        <w:t xml:space="preserve">такое обращение направляется по адресу, указанному представителем, или правопреемником в таком обращении, с копией по адресу, предоставленному </w:t>
      </w:r>
      <w:r w:rsidRPr="00CB7272">
        <w:rPr>
          <w:rFonts w:ascii="Times New Roman" w:eastAsia="Times New Roman" w:hAnsi="Times New Roman" w:cs="Times New Roman"/>
          <w:sz w:val="24"/>
        </w:rPr>
        <w:lastRenderedPageBreak/>
        <w:t>кредитному кооперативу заявителем, с учетом требований, установленных настоящим пунктом.</w:t>
      </w:r>
      <w:proofErr w:type="gramEnd"/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Кредитный кооператив об</w:t>
      </w:r>
      <w:r w:rsidRPr="00CB7272">
        <w:rPr>
          <w:rFonts w:ascii="Times New Roman" w:eastAsia="Times New Roman" w:hAnsi="Times New Roman" w:cs="Times New Roman"/>
          <w:sz w:val="24"/>
        </w:rPr>
        <w:t>язан отвечать на каждое полученное им обращение, за исключением случаев, предусмотренных пунктами 2.3, 4.6 настоящего Положения.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В случае направления обращения от имени заявителя его представителем Кооператив вправе не отвечать на такое обращение, если не </w:t>
      </w:r>
      <w:r w:rsidRPr="00CB7272">
        <w:rPr>
          <w:rFonts w:ascii="Times New Roman" w:eastAsia="Times New Roman" w:hAnsi="Times New Roman" w:cs="Times New Roman"/>
          <w:sz w:val="24"/>
        </w:rPr>
        <w:t>представлен документ, подтверждающий полномочия представителя на осуществление действий от имени заявителя. Документами, подтверждающими полномочия на представителя, являются: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 для физических лиц: нотариально удостоверенная доверенность (или её нотариально</w:t>
      </w:r>
      <w:r w:rsidRPr="00CB7272">
        <w:rPr>
          <w:rFonts w:ascii="Times New Roman" w:eastAsia="Times New Roman" w:hAnsi="Times New Roman" w:cs="Times New Roman"/>
          <w:sz w:val="24"/>
        </w:rPr>
        <w:t xml:space="preserve"> заверенная копия), решение суда о признании лица недееспособным (ограниченно дееспособным) или нотариально заверенная копия решения органа опеки и попечительства о назначении лица опекуном (попечителем), иные документы, установленные законом;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для юридичес</w:t>
      </w:r>
      <w:r w:rsidRPr="00CB7272">
        <w:rPr>
          <w:rFonts w:ascii="Times New Roman" w:eastAsia="Times New Roman" w:hAnsi="Times New Roman" w:cs="Times New Roman"/>
          <w:sz w:val="24"/>
        </w:rPr>
        <w:t>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организации.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заявителем и кредитным кооперативом. При этом использ</w:t>
      </w:r>
      <w:r w:rsidRPr="00CB7272">
        <w:rPr>
          <w:rFonts w:ascii="Times New Roman" w:eastAsia="Times New Roman" w:hAnsi="Times New Roman" w:cs="Times New Roman"/>
          <w:sz w:val="24"/>
        </w:rPr>
        <w:t>ование личного кабинета (при наличии) признается надлежащим способом обмена сообщениями между заявителем и кредитным кооперативом.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случае возникновения у кредитного кооператива сомнений относительно подлинности подписи на обращении или полномочий предста</w:t>
      </w:r>
      <w:r w:rsidRPr="00CB7272">
        <w:rPr>
          <w:rFonts w:ascii="Times New Roman" w:eastAsia="Times New Roman" w:hAnsi="Times New Roman" w:cs="Times New Roman"/>
          <w:sz w:val="24"/>
        </w:rPr>
        <w:t>вителя,  кредитный кооператив обязан проинформировать получателя финансовой услуги о риске получения информации о нем неуполномоченным лицом одним из согласованных с ним при заключении договора способов</w:t>
      </w:r>
      <w:r w:rsidRPr="00CB7272">
        <w:rPr>
          <w:rFonts w:ascii="Calibri" w:eastAsia="Calibri" w:hAnsi="Calibri" w:cs="Calibri"/>
        </w:rPr>
        <w:t>: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телефонная связь; 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телеграфные сообщения, 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текстовые</w:t>
      </w:r>
      <w:r w:rsidRPr="00CB7272">
        <w:rPr>
          <w:rFonts w:ascii="Times New Roman" w:eastAsia="Times New Roman" w:hAnsi="Times New Roman" w:cs="Times New Roman"/>
          <w:sz w:val="24"/>
        </w:rPr>
        <w:t xml:space="preserve">, голосовые и иные сообщения, передаваемые по сетям электросвязи, в том числе подвижной радиотелефонной связи; 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почтовые отправления и (или) способы обеспечения доступа получателя финансовой услуги к информации (например, размещение информации в личном каб</w:t>
      </w:r>
      <w:r w:rsidRPr="00CB7272">
        <w:rPr>
          <w:rFonts w:ascii="Times New Roman" w:eastAsia="Times New Roman" w:hAnsi="Times New Roman" w:cs="Times New Roman"/>
          <w:sz w:val="24"/>
        </w:rPr>
        <w:t>инете получателя финансовой услуги (при наличии)</w:t>
      </w:r>
      <w:r w:rsidR="00CB7272">
        <w:rPr>
          <w:rFonts w:ascii="Times New Roman" w:eastAsia="Times New Roman" w:hAnsi="Times New Roman" w:cs="Times New Roman"/>
          <w:sz w:val="24"/>
        </w:rPr>
        <w:t>;</w:t>
      </w:r>
    </w:p>
    <w:p w:rsidR="00782F57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иные способы взаимодействия).</w:t>
      </w:r>
      <w:r w:rsidRPr="00CB7272">
        <w:rPr>
          <w:rFonts w:ascii="Calibri" w:eastAsia="Calibri" w:hAnsi="Calibri" w:cs="Calibri"/>
        </w:rPr>
        <w:t xml:space="preserve"> </w:t>
      </w:r>
    </w:p>
    <w:p w:rsidR="00782F57" w:rsidRP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Кредитный кооператив обязан в доступной форме, в том числе посредством публикации на своем официальном сайте в информационн</w:t>
      </w:r>
      <w:proofErr w:type="gramStart"/>
      <w:r w:rsidRPr="00CB7272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B7272">
        <w:rPr>
          <w:rFonts w:ascii="Times New Roman" w:eastAsia="Times New Roman" w:hAnsi="Times New Roman" w:cs="Times New Roman"/>
          <w:sz w:val="24"/>
        </w:rPr>
        <w:t xml:space="preserve"> телекоммуникационной сети «Интернет» (при наличи</w:t>
      </w:r>
      <w:r w:rsidRPr="00CB7272">
        <w:rPr>
          <w:rFonts w:ascii="Times New Roman" w:eastAsia="Times New Roman" w:hAnsi="Times New Roman" w:cs="Times New Roman"/>
          <w:sz w:val="24"/>
        </w:rPr>
        <w:t>и), проинформировать получателей финансовых услуг о требованиях и рекомендациях к содержанию обращения.</w:t>
      </w:r>
    </w:p>
    <w:p w:rsidR="00CB7272" w:rsidRDefault="00CB7272" w:rsidP="00CB7272">
      <w:pPr>
        <w:ind w:left="720"/>
        <w:rPr>
          <w:rFonts w:ascii="Times New Roman" w:eastAsia="Times New Roman" w:hAnsi="Times New Roman" w:cs="Times New Roman"/>
          <w:b/>
          <w:caps/>
          <w:sz w:val="24"/>
        </w:rPr>
      </w:pPr>
    </w:p>
    <w:p w:rsidR="00CB7272" w:rsidRDefault="00CF418A" w:rsidP="00CB72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b/>
          <w:caps/>
          <w:sz w:val="24"/>
        </w:rPr>
        <w:t>Требования к обращению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Обращение, направленное от имени физического лица, должно содержать следующие сведения: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lastRenderedPageBreak/>
        <w:t xml:space="preserve"> фамилию, имя, отчество (при наличии);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Почтовый адрес и (или) адрес электронной почты, для направления ответа на обращение; 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Обращение, направленное от имени юрид</w:t>
      </w:r>
      <w:r w:rsidRPr="00CB7272">
        <w:rPr>
          <w:rFonts w:ascii="Times New Roman" w:eastAsia="Times New Roman" w:hAnsi="Times New Roman" w:cs="Times New Roman"/>
          <w:sz w:val="24"/>
        </w:rPr>
        <w:t>ического лица, должно содержать: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полное наименование и адрес юридического лица; 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подпись уполномоченного представителя юридического л</w:t>
      </w:r>
      <w:r w:rsidRPr="00CB7272">
        <w:rPr>
          <w:rFonts w:ascii="Times New Roman" w:eastAsia="Times New Roman" w:hAnsi="Times New Roman" w:cs="Times New Roman"/>
          <w:sz w:val="24"/>
        </w:rPr>
        <w:t>ица;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почтовый адрес и (или) адрес электронной почты для направления ответа на обращение.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обращении рекомендуется излагать существо требований и фактических обстоятельств, на которых они основаны, и прикладывать имеющиеся доказательства обоснованности так</w:t>
      </w:r>
      <w:r w:rsidRPr="00CB7272">
        <w:rPr>
          <w:rFonts w:ascii="Times New Roman" w:eastAsia="Times New Roman" w:hAnsi="Times New Roman" w:cs="Times New Roman"/>
          <w:sz w:val="24"/>
        </w:rPr>
        <w:t xml:space="preserve">их требований. </w:t>
      </w:r>
      <w:proofErr w:type="gramStart"/>
      <w:r w:rsidRPr="00CB7272">
        <w:rPr>
          <w:rFonts w:ascii="Times New Roman" w:eastAsia="Times New Roman" w:hAnsi="Times New Roman" w:cs="Times New Roman"/>
          <w:sz w:val="24"/>
        </w:rPr>
        <w:t xml:space="preserve">При обжаловании действий (бездействия) сотрудников, органов Кооператива, могут дополнительно указываться наименование соответствующего органа и (или) должность, фамилия, имя, отчество (при наличии) работника кредитного кооператива, действия </w:t>
      </w:r>
      <w:r w:rsidRPr="00CB7272">
        <w:rPr>
          <w:rFonts w:ascii="Times New Roman" w:eastAsia="Times New Roman" w:hAnsi="Times New Roman" w:cs="Times New Roman"/>
          <w:sz w:val="24"/>
        </w:rPr>
        <w:t>(бездействия) которых обжалуются;</w:t>
      </w:r>
      <w:proofErr w:type="gramEnd"/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По усмотрению заявителя в обращении могут быть дополнительно указаны следующие сведения: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номер договора, заключенного между получателем финансовой услуги и кредитным кооперативом;</w:t>
      </w:r>
    </w:p>
    <w:p w:rsidR="00782F57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caps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иные сведения, которые заявитель считает н</w:t>
      </w:r>
      <w:r w:rsidRPr="00CB7272">
        <w:rPr>
          <w:rFonts w:ascii="Times New Roman" w:eastAsia="Times New Roman" w:hAnsi="Times New Roman" w:cs="Times New Roman"/>
          <w:sz w:val="24"/>
        </w:rPr>
        <w:t>еобходимым сообщить.</w:t>
      </w:r>
    </w:p>
    <w:p w:rsidR="00782F57" w:rsidRDefault="00782F57">
      <w:pPr>
        <w:ind w:left="18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7272" w:rsidRDefault="00CF418A" w:rsidP="00CB72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b/>
          <w:sz w:val="24"/>
        </w:rPr>
        <w:t>ПРИЕМ И РАССМОТРЕНИЕ ОБРАЩЕНИЙ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Кредитный кооператив принимает обращения, направленные способами, указанными в п.2.5. настоящего Положения, по адресу кредитного кооператива, указанному в едином государственном реестре юридических лиц, или иному адресу, указанному в договорах займа и (или</w:t>
      </w:r>
      <w:r w:rsidRPr="00CB7272">
        <w:rPr>
          <w:rFonts w:ascii="Times New Roman" w:eastAsia="Times New Roman" w:hAnsi="Times New Roman" w:cs="Times New Roman"/>
          <w:sz w:val="24"/>
        </w:rPr>
        <w:t>) на официальном сайте кредитного кооператива.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 Поступившее обращение в течение 1 (одного) рабочего дня, следующего за днем получения обращения, заносят в Журнал, в котором должны содержаться следующие сведения по каждому обращению: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дата регистрации и вход</w:t>
      </w:r>
      <w:r w:rsidRPr="00CB7272">
        <w:rPr>
          <w:rFonts w:ascii="Times New Roman" w:eastAsia="Times New Roman" w:hAnsi="Times New Roman" w:cs="Times New Roman"/>
          <w:sz w:val="24"/>
        </w:rPr>
        <w:t>ящий номер обращения;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отношении физических лиц – фамилия, имя, отчество (при наличии) заявителя;</w:t>
      </w:r>
    </w:p>
    <w:p w:rsidR="00782F57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отношении юридических лиц – наименование заявителя.</w:t>
      </w:r>
    </w:p>
    <w:p w:rsid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Лицо, ответственное за рассмотрение обращений, обязано рассмотреть обращение и составить ответ на посту</w:t>
      </w:r>
      <w:r w:rsidRPr="00CB7272">
        <w:rPr>
          <w:rFonts w:ascii="Times New Roman" w:eastAsia="Times New Roman" w:hAnsi="Times New Roman" w:cs="Times New Roman"/>
          <w:sz w:val="24"/>
        </w:rPr>
        <w:t>пившее к нему обращение в течение 15 (пятнадцати) рабочих дней со дня его регистрации в Журнале.</w:t>
      </w:r>
    </w:p>
    <w:p w:rsid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случае если получатель финансовой услуги не предоставил информацию и (или) документы, необходимые и достаточные для рассмотрения обращения по существу, ответ</w:t>
      </w:r>
      <w:r w:rsidRPr="00CB7272">
        <w:rPr>
          <w:rFonts w:ascii="Times New Roman" w:eastAsia="Times New Roman" w:hAnsi="Times New Roman" w:cs="Times New Roman"/>
          <w:sz w:val="24"/>
        </w:rPr>
        <w:t>ственное лицо обязано в течение 15 (пятнадцати) рабочих дней со дня его регистрации в Журнале запросить у заявителя недостающую информацию и (или) документы. При этом</w:t>
      </w:r>
      <w:proofErr w:type="gramStart"/>
      <w:r w:rsidRPr="00CB7272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CB7272">
        <w:rPr>
          <w:rFonts w:ascii="Times New Roman" w:eastAsia="Times New Roman" w:hAnsi="Times New Roman" w:cs="Times New Roman"/>
          <w:sz w:val="24"/>
        </w:rPr>
        <w:t xml:space="preserve"> в случае предоставления недостающей информации и (или) документов, кредитный кооператив </w:t>
      </w:r>
      <w:r w:rsidRPr="00CB7272">
        <w:rPr>
          <w:rFonts w:ascii="Times New Roman" w:eastAsia="Times New Roman" w:hAnsi="Times New Roman" w:cs="Times New Roman"/>
          <w:sz w:val="24"/>
        </w:rPr>
        <w:t>обязан рассмотреть обращение в течение 5 (пяти) рабочих дней с даты получения запрошенной информации и (или) документов.</w:t>
      </w:r>
    </w:p>
    <w:p w:rsid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Полученное в устной форме обращение должника о предоставлении информации относительно текущего размера задолженности, возникшей из дого</w:t>
      </w:r>
      <w:r w:rsidRPr="00CB7272">
        <w:rPr>
          <w:rFonts w:ascii="Times New Roman" w:eastAsia="Times New Roman" w:hAnsi="Times New Roman" w:cs="Times New Roman"/>
          <w:sz w:val="24"/>
        </w:rPr>
        <w:t xml:space="preserve">вора займа, </w:t>
      </w:r>
      <w:r w:rsidRPr="00CB7272">
        <w:rPr>
          <w:rFonts w:ascii="Times New Roman" w:eastAsia="Times New Roman" w:hAnsi="Times New Roman" w:cs="Times New Roman"/>
          <w:sz w:val="24"/>
        </w:rPr>
        <w:lastRenderedPageBreak/>
        <w:t>заключенного с кредитным кооперативом, подлежит рассмотрению кредитным кооперативом в день заявления.</w:t>
      </w:r>
    </w:p>
    <w:p w:rsid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Кредитный кооператив вправе отказать в рассмотрении обращения по существу в следующих случаях:</w:t>
      </w:r>
    </w:p>
    <w:p w:rsidR="00CB7272" w:rsidRDefault="00CF418A" w:rsidP="00CB7272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обращении не указаны идентифицирующие получат</w:t>
      </w:r>
      <w:r w:rsidRPr="00CB7272">
        <w:rPr>
          <w:rFonts w:ascii="Times New Roman" w:eastAsia="Times New Roman" w:hAnsi="Times New Roman" w:cs="Times New Roman"/>
          <w:sz w:val="24"/>
        </w:rPr>
        <w:t xml:space="preserve">еля финансовой услуги признаки, указанные в п. 3.1., 3.2. настоящего Положения </w:t>
      </w:r>
    </w:p>
    <w:p w:rsidR="00CB7272" w:rsidRDefault="00CF418A" w:rsidP="00CB7272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</w:t>
      </w:r>
      <w:r w:rsidRPr="00CB7272">
        <w:rPr>
          <w:rFonts w:ascii="Times New Roman" w:eastAsia="Times New Roman" w:hAnsi="Times New Roman" w:cs="Times New Roman"/>
          <w:sz w:val="24"/>
        </w:rPr>
        <w:t>а также членам их семей;</w:t>
      </w:r>
    </w:p>
    <w:p w:rsidR="00CB7272" w:rsidRDefault="00CF418A" w:rsidP="00CB7272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текст письменного обращения не поддается прочтению;</w:t>
      </w:r>
    </w:p>
    <w:p w:rsidR="00CB7272" w:rsidRDefault="00CF418A" w:rsidP="00CB7272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</w:t>
      </w:r>
      <w:r w:rsidRPr="00CB7272">
        <w:rPr>
          <w:rFonts w:ascii="Times New Roman" w:eastAsia="Times New Roman" w:hAnsi="Times New Roman" w:cs="Times New Roman"/>
          <w:sz w:val="24"/>
        </w:rPr>
        <w:t>ые доводы или обстоятельства, о чем уведомляется лицо, направившее обращение.</w:t>
      </w:r>
    </w:p>
    <w:p w:rsid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Кредитный кооператив обязан рассмотреть обращение по существу после устранения причин, указанных в пункте 4.6. настоящего Положения.</w:t>
      </w:r>
    </w:p>
    <w:p w:rsidR="00782F57" w:rsidRPr="00CB7272" w:rsidRDefault="00CF418A" w:rsidP="00CB7272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Обращение, в котором обжалуется судебное реше</w:t>
      </w:r>
      <w:r w:rsidRPr="00CB7272">
        <w:rPr>
          <w:rFonts w:ascii="Times New Roman" w:eastAsia="Times New Roman" w:hAnsi="Times New Roman" w:cs="Times New Roman"/>
          <w:sz w:val="24"/>
        </w:rPr>
        <w:t>ние, возвращается лицу, направившему обращение, с разъяснением порядка обжалования данного судебного решения.</w:t>
      </w:r>
    </w:p>
    <w:p w:rsidR="00782F57" w:rsidRDefault="00782F57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CB7272" w:rsidRPr="00CB7272" w:rsidRDefault="00CF418A" w:rsidP="00CB72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b/>
          <w:sz w:val="24"/>
        </w:rPr>
        <w:t>ФОРМЫ И СПОСОБЫ ПРЕДОСТАВЛЕНИЯ ОТВЕТА</w:t>
      </w:r>
    </w:p>
    <w:p w:rsid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Кредитный кооператив обязан принять решение по полученному им обращению. </w:t>
      </w:r>
    </w:p>
    <w:p w:rsid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Если ответственное лицо полагает, что обращение должно быть удовлетворено, и имеет полномочия для принятия соответствующего решения, то оно готовит ответ заявителю, в котором приводятся объяснения, какие действия принимаются кредитным кооперативом по обращ</w:t>
      </w:r>
      <w:r w:rsidRPr="00CB7272">
        <w:rPr>
          <w:rFonts w:ascii="Times New Roman" w:eastAsia="Times New Roman" w:hAnsi="Times New Roman" w:cs="Times New Roman"/>
          <w:sz w:val="24"/>
        </w:rPr>
        <w:t xml:space="preserve">ению и какие действия должен принять заявитель (если они необходимы). </w:t>
      </w:r>
    </w:p>
    <w:p w:rsid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Если ответственное лицо полагает, что обращение не может быть удовлетворено, и обладает полномочиями для принятия соответствующего решения, то оно готовит мотивированный ответ с указани</w:t>
      </w:r>
      <w:r w:rsidRPr="00CB7272">
        <w:rPr>
          <w:rFonts w:ascii="Times New Roman" w:eastAsia="Times New Roman" w:hAnsi="Times New Roman" w:cs="Times New Roman"/>
          <w:sz w:val="24"/>
        </w:rPr>
        <w:t>ями причин отказа.</w:t>
      </w:r>
    </w:p>
    <w:p w:rsid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случае отсутствия ответа заявителя на запрос кредитного кооператива, направленный в порядке п.4.4. настоящего Положения, в течение срока, превышающего 14 (четырнадцать) дней, ответственное лицо вправе принять решение без учета доводов,</w:t>
      </w:r>
      <w:r w:rsidRPr="00CB7272">
        <w:rPr>
          <w:rFonts w:ascii="Times New Roman" w:eastAsia="Times New Roman" w:hAnsi="Times New Roman" w:cs="Times New Roman"/>
          <w:sz w:val="24"/>
        </w:rPr>
        <w:t xml:space="preserve"> в подтверждение которых информация </w:t>
      </w:r>
      <w:proofErr w:type="gramStart"/>
      <w:r w:rsidRPr="00CB7272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CB7272">
        <w:rPr>
          <w:rFonts w:ascii="Times New Roman" w:eastAsia="Times New Roman" w:hAnsi="Times New Roman" w:cs="Times New Roman"/>
          <w:sz w:val="24"/>
        </w:rPr>
        <w:t>или) документы не предоставлены.</w:t>
      </w:r>
    </w:p>
    <w:p w:rsid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случае невозможности удовлетворить обращение, заявителю могут быть предложены альтернативные способы урегулирования ситуации.</w:t>
      </w:r>
    </w:p>
    <w:p w:rsid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Ответ на обращение направляется заявителю способами, пред</w:t>
      </w:r>
      <w:r w:rsidRPr="00CB7272">
        <w:rPr>
          <w:rFonts w:ascii="Times New Roman" w:eastAsia="Times New Roman" w:hAnsi="Times New Roman" w:cs="Times New Roman"/>
          <w:sz w:val="24"/>
        </w:rPr>
        <w:t>усмотренными п. 2.5. настоящего Положения, с регистрацией ответа в Журнале, в котором должны содержаться следующие сведения по ответу на обращение:</w:t>
      </w:r>
    </w:p>
    <w:p w:rsid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дата регистрации и исходящий номер ответа на обращение;</w:t>
      </w:r>
    </w:p>
    <w:p w:rsidR="00782F57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входящий номер обращения, на который предоставляется</w:t>
      </w:r>
      <w:r w:rsidRPr="00CB7272">
        <w:rPr>
          <w:rFonts w:ascii="Times New Roman" w:eastAsia="Times New Roman" w:hAnsi="Times New Roman" w:cs="Times New Roman"/>
          <w:sz w:val="24"/>
        </w:rPr>
        <w:t xml:space="preserve"> ответ.</w:t>
      </w:r>
    </w:p>
    <w:p w:rsidR="00CB7272" w:rsidRDefault="00CB7272" w:rsidP="00CB7272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CB7272" w:rsidRPr="00CB7272" w:rsidRDefault="00CB7272" w:rsidP="00CB7272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CB7272" w:rsidRDefault="00CF418A" w:rsidP="00CB727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b/>
          <w:sz w:val="24"/>
        </w:rPr>
        <w:lastRenderedPageBreak/>
        <w:t>ЗАКЛЮЧИТЕЛЬНЫЕ ПОЛОЖЕНИЯ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Обращения и документы по их рассмотрению хранятся кредитным кооперативом в течение 1 (одного) года с даты их регистрации в Журнале. Обращения (в том числе копии), документы по их рассмотрению и ответы кредитного кооператива</w:t>
      </w:r>
      <w:r w:rsidRPr="00CB7272">
        <w:rPr>
          <w:rFonts w:ascii="Times New Roman" w:eastAsia="Times New Roman" w:hAnsi="Times New Roman" w:cs="Times New Roman"/>
          <w:sz w:val="24"/>
        </w:rPr>
        <w:t xml:space="preserve"> на обращения являются конфиденциальными, кроме случаев получения запросов от Банка России, уполномоченных органов и органов местного самоуправления, </w:t>
      </w:r>
      <w:proofErr w:type="spellStart"/>
      <w:r w:rsidRPr="00CB7272">
        <w:rPr>
          <w:rFonts w:ascii="Times New Roman" w:eastAsia="Times New Roman" w:hAnsi="Times New Roman" w:cs="Times New Roman"/>
          <w:sz w:val="24"/>
        </w:rPr>
        <w:t>саморегулируемой</w:t>
      </w:r>
      <w:proofErr w:type="spellEnd"/>
      <w:r w:rsidRPr="00CB7272">
        <w:rPr>
          <w:rFonts w:ascii="Times New Roman" w:eastAsia="Times New Roman" w:hAnsi="Times New Roman" w:cs="Times New Roman"/>
          <w:sz w:val="24"/>
        </w:rPr>
        <w:t xml:space="preserve"> организации, касающихся предоставления информации о получателе финансовой услуги и (или) </w:t>
      </w:r>
      <w:r w:rsidRPr="00CB7272">
        <w:rPr>
          <w:rFonts w:ascii="Times New Roman" w:eastAsia="Times New Roman" w:hAnsi="Times New Roman" w:cs="Times New Roman"/>
          <w:sz w:val="24"/>
        </w:rPr>
        <w:t>его обращении.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Кредитный кооператив предоставляет в </w:t>
      </w:r>
      <w:proofErr w:type="spellStart"/>
      <w:r w:rsidRPr="00CB7272">
        <w:rPr>
          <w:rFonts w:ascii="Times New Roman" w:eastAsia="Times New Roman" w:hAnsi="Times New Roman" w:cs="Times New Roman"/>
          <w:sz w:val="24"/>
        </w:rPr>
        <w:t>саморегулируемую</w:t>
      </w:r>
      <w:proofErr w:type="spellEnd"/>
      <w:r w:rsidRPr="00CB7272">
        <w:rPr>
          <w:rFonts w:ascii="Times New Roman" w:eastAsia="Times New Roman" w:hAnsi="Times New Roman" w:cs="Times New Roman"/>
          <w:sz w:val="24"/>
        </w:rPr>
        <w:t xml:space="preserve"> организацию по соответствующему требованию, но не чаще чем 4 (четыре) раза в год, сведения о рассмотрении обращений получателей финансовых услуг в виде отчета, содержащего следующие данны</w:t>
      </w:r>
      <w:r w:rsidRPr="00CB7272">
        <w:rPr>
          <w:rFonts w:ascii="Times New Roman" w:eastAsia="Times New Roman" w:hAnsi="Times New Roman" w:cs="Times New Roman"/>
          <w:sz w:val="24"/>
        </w:rPr>
        <w:t xml:space="preserve">е: 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количество поступивших обращений;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 xml:space="preserve">тематика обращений; </w:t>
      </w:r>
    </w:p>
    <w:p w:rsidR="00CB7272" w:rsidRPr="00CB7272" w:rsidRDefault="00CF418A" w:rsidP="00CB7272">
      <w:pPr>
        <w:pStyle w:val="a3"/>
        <w:numPr>
          <w:ilvl w:val="2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результат рассмотрения (удовлетворено, не удовлетворено, удовлетворено частично).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Кредитный кооператив использует обращения в целях анализа уровня качества обслуживания, а также иных нефинансовых показателей, данные о которых можно получить в ходе анализа обращений, и не реже чем 1 (один) раз в год производит обобщение и типизацию обращ</w:t>
      </w:r>
      <w:r w:rsidRPr="00CB7272">
        <w:rPr>
          <w:rFonts w:ascii="Times New Roman" w:eastAsia="Times New Roman" w:hAnsi="Times New Roman" w:cs="Times New Roman"/>
          <w:sz w:val="24"/>
        </w:rPr>
        <w:t xml:space="preserve">ений и принимает необходимые меры в целях </w:t>
      </w:r>
      <w:proofErr w:type="gramStart"/>
      <w:r w:rsidRPr="00CB7272">
        <w:rPr>
          <w:rFonts w:ascii="Times New Roman" w:eastAsia="Times New Roman" w:hAnsi="Times New Roman" w:cs="Times New Roman"/>
          <w:sz w:val="24"/>
        </w:rPr>
        <w:t>повышения качества обслуживания получателей финансовых услуг</w:t>
      </w:r>
      <w:proofErr w:type="gramEnd"/>
      <w:r w:rsidRPr="00CB7272">
        <w:rPr>
          <w:rFonts w:ascii="Times New Roman" w:eastAsia="Times New Roman" w:hAnsi="Times New Roman" w:cs="Times New Roman"/>
          <w:sz w:val="24"/>
        </w:rPr>
        <w:t>.</w:t>
      </w:r>
    </w:p>
    <w:p w:rsidR="00CB7272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В части, не урегулированной настоящим Положением, Кооператив руководствуется требованиями Стандарта и иных нормативных правовых актов.</w:t>
      </w:r>
    </w:p>
    <w:p w:rsidR="00782F57" w:rsidRPr="00CB7272" w:rsidRDefault="00CF418A" w:rsidP="00CB7272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b/>
          <w:sz w:val="24"/>
        </w:rPr>
      </w:pPr>
      <w:r w:rsidRPr="00CB7272">
        <w:rPr>
          <w:rFonts w:ascii="Times New Roman" w:eastAsia="Times New Roman" w:hAnsi="Times New Roman" w:cs="Times New Roman"/>
          <w:sz w:val="24"/>
        </w:rPr>
        <w:t>Настоящее Положен</w:t>
      </w:r>
      <w:r w:rsidRPr="00CB7272">
        <w:rPr>
          <w:rFonts w:ascii="Times New Roman" w:eastAsia="Times New Roman" w:hAnsi="Times New Roman" w:cs="Times New Roman"/>
          <w:sz w:val="24"/>
        </w:rPr>
        <w:t>ие вступает в силу после его утверждения Общим собранием пайщиков Кооператива, но не ранее 01 апреля 2018 года.</w:t>
      </w:r>
    </w:p>
    <w:sectPr w:rsidR="00782F57" w:rsidRPr="00CB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D10"/>
    <w:multiLevelType w:val="multilevel"/>
    <w:tmpl w:val="D88C2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E574A"/>
    <w:multiLevelType w:val="multilevel"/>
    <w:tmpl w:val="EDC07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25EA"/>
    <w:multiLevelType w:val="multilevel"/>
    <w:tmpl w:val="8CA8A7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B729BD"/>
    <w:multiLevelType w:val="hybridMultilevel"/>
    <w:tmpl w:val="55C619C8"/>
    <w:lvl w:ilvl="0" w:tplc="B188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878F0"/>
    <w:multiLevelType w:val="hybridMultilevel"/>
    <w:tmpl w:val="C04A4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3B3661"/>
    <w:multiLevelType w:val="multilevel"/>
    <w:tmpl w:val="B41C2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7687D"/>
    <w:multiLevelType w:val="multilevel"/>
    <w:tmpl w:val="A740E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PKntetkeS2dVKn77tlJG5AONLA=" w:salt="1Am7Ou9iAi6B/8O/QlA1ZQ=="/>
  <w:defaultTabStop w:val="708"/>
  <w:characterSpacingControl w:val="doNotCompress"/>
  <w:compat>
    <w:useFELayout/>
  </w:compat>
  <w:rsids>
    <w:rsidRoot w:val="00782F57"/>
    <w:rsid w:val="00782F57"/>
    <w:rsid w:val="00CB7272"/>
    <w:rsid w:val="00C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1897</Words>
  <Characters>10817</Characters>
  <Application>Microsoft Office Word</Application>
  <DocSecurity>8</DocSecurity>
  <Lines>90</Lines>
  <Paragraphs>25</Paragraphs>
  <ScaleCrop>false</ScaleCrop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2018-08-30T09:34:00Z</dcterms:created>
  <dcterms:modified xsi:type="dcterms:W3CDTF">2018-08-30T09:41:00Z</dcterms:modified>
</cp:coreProperties>
</file>